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LRiStaG (Nordrhein-Westfalen) — Vorsitz des Präsidialrates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vorsitzende Person des Präsidialrates wird von allen Richterinnen und Richtern des Gerichtszweiges nach den Grundsätzen der Personenwahl gewählt.</w:t>
      </w:r>
    </w:p>
    <w:p>
      <w:r>
        <w:t xml:space="preserve">(2) Vorsitzende Person wird, wer von den vorgeschlagenen Gerichtspräsidentinnen und Gerichtspräsidenten die meisten Stimmen auf sich vereint.</w:t>
      </w:r>
    </w:p>
    <w:p>
      <w:r>
        <w:t xml:space="preserve">(3) Die vorsitzende Person führt die laufenden Geschäfte und vertritt den Präsidialrat im Rahmen der von ihm gefassten Beschlüsse.</w:t>
      </w:r>
    </w:p>
    <w:p>
      <w:r>
        <w:rPr>
          <w:color w:val="555555"/>
          <w:sz w:val="17"/>
        </w:rPr>
        <w:t xml:space="preserve">Zitiervorschlag: § 59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https://recht.nulegal.eu/gesetze/LRiStaG/59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