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LRiStaG (Nordrhein-Westfalen) — Ordentliche Gerichtsbarkeit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Präsidialrat besteht aus</w:t>
      </w:r>
    </w:p>
    <w:p>
      <w:r>
        <w:t xml:space="preserve">1. der Präsidentin oder dem Präsidenten eines Gerichts als vorsitzender Person und</w:t>
      </w:r>
    </w:p>
    <w:p>
      <w:r>
        <w:t xml:space="preserve">2. acht weiteren Richterinnen oder Richtern als weitere Mitglieder.</w:t>
      </w:r>
    </w:p>
    <w:p>
      <w:r>
        <w:t xml:space="preserve">(2) Von den weiteren Mitgliedern müssen vier aus dem Oberlandesgerichtsbezirk Hamm und je zwei aus den Oberlandesgerichtsbezirken Düsseldorf und Köln kommen.</w:t>
      </w:r>
    </w:p>
    <w:p>
      <w:r>
        <w:rPr>
          <w:color w:val="555555"/>
          <w:sz w:val="17"/>
        </w:rPr>
        <w:t xml:space="preserve">Zitiervorschlag: § 53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