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LRiStaG (Nordrhein-Westfalen) — Geltung des Landespersonalvertretungsgesetzes</w:t>
      </w:r>
    </w:p>
    <w:p>
      <w:r>
        <w:rPr>
          <w:color w:val="555555"/>
          <w:sz w:val="18"/>
        </w:rPr>
        <w:t xml:space="preserve">Landesrichter- und Staatsanwältegesetz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dieses Gesetz nichts anderes bestimmt, gelten für die Richter- und Staatsanwaltsräte die Vorschriften des Landespersonalvertretungsgesetzes entsprechend.</w:t>
      </w:r>
    </w:p>
    <w:p>
      <w:r>
        <w:t xml:space="preserve">Kapitel 3</w:t>
      </w:r>
    </w:p>
    <w:p>
      <w:r>
        <w:t xml:space="preserve">Präsidialrat</w:t>
      </w:r>
    </w:p>
    <w:p>
      <w:r>
        <w:rPr>
          <w:color w:val="555555"/>
          <w:sz w:val="17"/>
        </w:rPr>
        <w:t xml:space="preserve">Zitiervorschlag: § 51 LRiStaG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https://recht.nulegal.eu/gesetze/LRiStaG/51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