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LRiStaG (Nordrhein-Westfalen) — Mitbestimmungspflichtige Angelegenheiten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Richterrat hat mitzubestimmen in Personalangelegenheiten bei</w:t>
      </w:r>
    </w:p>
    <w:p>
      <w:r>
        <w:t xml:space="preserve">1. Einstellung,</w:t>
      </w:r>
    </w:p>
    <w:p>
      <w:r>
        <w:t xml:space="preserve">2. Ernennung zur Richterin und zum Richter auf Lebenszeit,</w:t>
      </w:r>
    </w:p>
    <w:p>
      <w:r>
        <w:t xml:space="preserve">3. Übertragung eines anderen Amtes mit gleichem oder niedrigerem Endgrundgehalt und der Amtsenthebung auf Grund der Veränderung der Gerichtsorganisation (§ 32 des Deutschen Richtergesetzes),</w:t>
      </w:r>
    </w:p>
    <w:p>
      <w:r>
        <w:t xml:space="preserve">4. Laufbahnwechsel,</w:t>
      </w:r>
    </w:p>
    <w:p>
      <w:r>
        <w:t xml:space="preserve">5. Versetzung einer Richterin oder eines Richters im Eingangsamt,</w:t>
      </w:r>
    </w:p>
    <w:p>
      <w:r>
        <w:t xml:space="preserve">6. Abordnung und Zuweisung nach § 20 des Beamtenstatusgesetzes für eine Dauer von mehr als sechs Monaten und ihrer Aufhebung,</w:t>
      </w:r>
    </w:p>
    <w:p>
      <w:r>
        <w:t xml:space="preserve">7. Entlassung von Richterinnen und Richtern, wenn die Entlassung nicht selbst beantragt wurde,</w:t>
      </w:r>
    </w:p>
    <w:p>
      <w:r>
        <w:t xml:space="preserve">8. vorzeitiger Versetzung in den Ruhestand, Feststellung der begrenzten Dienstfähigkeit, wenn die Maßnahme nicht selbst beantragt wurde,</w:t>
      </w:r>
    </w:p>
    <w:p>
      <w:r>
        <w:t xml:space="preserve">9. Versagung, Untersagung oder Widerruf der Genehmigung einer Nebentätigkeit,</w:t>
      </w:r>
    </w:p>
    <w:p>
      <w:r>
        <w:t xml:space="preserve">10. Ablehnung eines Antrags auf Teilzeitbeschäftigung oder Beurlaubung nach den §§ 7 bis 10 und Teil 3 und der Freistellungs- und Urlaubsverordnung NRW vom 10. Januar 2012 (GV. NRW. S. 2, ber. S. 92) in der jeweils geltenden Fassung,</w:t>
      </w:r>
    </w:p>
    <w:p>
      <w:r>
        <w:t xml:space="preserve">11. Ablehnung eines Antrags auf Einrichtung eines Arbeitsplatzes außerhalb der Dienststelle,</w:t>
      </w:r>
    </w:p>
    <w:p>
      <w:r>
        <w:t xml:space="preserve">12. Erlass, Änderung oder Aufhebung von Beurteilungsrichtlinien sowie</w:t>
      </w:r>
    </w:p>
    <w:p>
      <w:r>
        <w:t xml:space="preserve">13. Bewilligung und Ablehnung eines Antrags auf Hinausschieben des Eintritts in den Ruhestand von Richterinnen und Richtern.</w:t>
      </w:r>
    </w:p>
    <w:p>
      <w:r>
        <w:t xml:space="preserve">In den Fällen des Satzes 1 Nummer 3 bestimmt der Richterrat nur auf Antrag der Richterin oder des Richters mit.</w:t>
      </w:r>
    </w:p>
    <w:p>
      <w:r>
        <w:t xml:space="preserve">(2) Der Richterrat hat mitzubestimmen in sozialen Angelegenheiten bei</w:t>
      </w:r>
    </w:p>
    <w:p>
      <w:r>
        <w:t xml:space="preserve">1. Gewährung und Versagung von Unterstützungen, Vorschüssen, Darlehen und entsprechenden Zuwendungen und</w:t>
      </w:r>
    </w:p>
    <w:p>
      <w:r>
        <w:t xml:space="preserve">2. Errichtung, Verwaltung und Auflösung von Sozialeinrichtungen ohne Rücksicht auf ihre Rechtsform.</w:t>
      </w:r>
    </w:p>
    <w:p>
      <w:r>
        <w:t xml:space="preserve">(3) Der Richterrat hat mitzubestimmen in Rationalisierungs-, Technologie- und Organisationsangelegenheiten bei</w:t>
      </w:r>
    </w:p>
    <w:p>
      <w:r>
        <w:t xml:space="preserve">1. Einführung, Anwendung, wesentlicher Änderung oder wesentlicher Erweiterung von automatisierter Verarbeitung personenbezogener Daten der Richterinnen und Richter außerhalb von Besoldungs-, Gehalts-, Lohn-, Versorgungs- und Beihilfeleistungen sowie Jubiläumszuwendungen,</w:t>
      </w:r>
    </w:p>
    <w:p>
      <w:r>
        <w:t xml:space="preserve">2. Einführung, Anwendung und Erweiterung technischer Einrichtungen, es sei denn, dass deren Eignung zur Überwachung des Verhaltens oder der Leistung der Richterinnen und Richter ausgeschlossen ist,</w:t>
      </w:r>
    </w:p>
    <w:p>
      <w:r>
        <w:t xml:space="preserve">3. Einführung grundlegend neuer, wesentlicher Änderung und wesentlicher Ausweitung von Arbeitsmethoden,</w:t>
      </w:r>
    </w:p>
    <w:p>
      <w:r>
        <w:t xml:space="preserve">4. Maßnahmen, die die Hebung der Arbeitsleistung oder Erleichterungen des Arbeitsablaufs zur Folge haben sowie Maßnahmen der Änderung der Arbeitsorganisation,</w:t>
      </w:r>
    </w:p>
    <w:p>
      <w:r>
        <w:t xml:space="preserve">5. Einführung, wesentlicher Änderung oder wesentlicher Ausweitung betrieblicher Informations- und Kommunikationsnetze und</w:t>
      </w:r>
    </w:p>
    <w:p>
      <w:r>
        <w:t xml:space="preserve">6. Einrichtung von Arbeitsplätzen außerhalb der Dienststelle.</w:t>
      </w:r>
    </w:p>
    <w:p>
      <w:r>
        <w:t xml:space="preserve">(4) Der Richterrat hat mitzubestimmen über</w:t>
      </w:r>
    </w:p>
    <w:p>
      <w:r>
        <w:t xml:space="preserve">1. Aufstellung des Urlaubsplans, Festsetzung der zeitlichen Lage des Erholungsurlaubs für einzelne Richterinnen und Richter, wenn zwischen der Dienststelle und der beteiligten Richterin oder dem beteiligten Richter kein Einverständnis erzielt wird,</w:t>
      </w:r>
    </w:p>
    <w:p>
      <w:r>
        <w:t xml:space="preserve">2. Bestellung und Abberufung von Vertrauens- und Betriebsärztinnen und Vertrauens- und Betriebsärzten sowie Sicherheitsfachkräften und Bestellung der oder des Datenschutzbeauftragten,</w:t>
      </w:r>
    </w:p>
    <w:p>
      <w:r>
        <w:t xml:space="preserve">3. Maßnahmen zur Verhütung von Dienst- und Arbeitsunfällen und sonstigen Gesundheitsschädigungen einschließlich Maßnahmen vorbereitender und präventiver Art,</w:t>
      </w:r>
    </w:p>
    <w:p>
      <w:r>
        <w:t xml:space="preserve">4. Grundsätze über die Prämierung von anerkannten Vorschlägen im Rahmen des behördlichen und betrieblichen Vorschlagswesens,</w:t>
      </w:r>
    </w:p>
    <w:p>
      <w:r>
        <w:t xml:space="preserve">5. Regelung der Ordnung in der Dienststelle und des Verhaltens der Richterinnen und Richter</w:t>
      </w:r>
    </w:p>
    <w:p>
      <w:r>
        <w:t xml:space="preserve">6. Gestaltung der Arbeitsplätze,</w:t>
      </w:r>
    </w:p>
    <w:p>
      <w:r>
        <w:t xml:space="preserve">7. Geltendmachung von Ersatzansprüchen gegen eine Richterin oder einen Richter,</w:t>
      </w:r>
    </w:p>
    <w:p>
      <w:r>
        <w:t xml:space="preserve">8. Richtlinien für die personelle Auswahl bei Einstellungen und bei Versetzungen,</w:t>
      </w:r>
    </w:p>
    <w:p>
      <w:r>
        <w:t xml:space="preserve">9. allgemeine Fragen der Fortbildung der Richterinnen und Richter, Auswahl der Teilnehmerinnen und Teilnehmer an Fortbildungsveranstaltungen,</w:t>
      </w:r>
    </w:p>
    <w:p>
      <w:r>
        <w:t xml:space="preserve">10 Inhalt von Personalfragebogen,</w:t>
      </w:r>
    </w:p>
    <w:p>
      <w:r>
        <w:t xml:space="preserve">11. Maßnahmen, die der Durchsetzung der tatsächlichen Gleichberechtigung von Frauen und Männern, insbesondere bei der Einstellung, Beschäftigung, Aus-, Fort- und Weiterbildung und dem beruflichen Aufstieg dienen,</w:t>
      </w:r>
    </w:p>
    <w:p>
      <w:r>
        <w:t xml:space="preserve">12. Aufstellung von Grundsätzen zu Arbeitszeitmodellen und erstmalige Einführung grundlegend neuer Formen der Arbeitsorganisation und</w:t>
      </w:r>
    </w:p>
    <w:p>
      <w:r>
        <w:t xml:space="preserve">13. Übertragung von Arbeiten der Dienststelle, die üblicherweise von ihren Bediensteten vorgenommen werden, auf Dauer an Privatpersonen oder auf Dritte in jeglicher Rechtsform (Privatisierung).</w:t>
      </w:r>
    </w:p>
    <w:p>
      <w:r>
        <w:t xml:space="preserve">In den Fällen des Satzes 1 Nummer 7 bestimmt der Richterrat nur auf Antrag der Richterin oder des Richters mit; diese oder dieser ist von der beabsichtigten Maßnahme rechtzeitig vorher in Kenntnis zu setzen. Satz 1 Nummer 10 gilt nicht für den Inhalt von Personalfragebogen, die der Finanzkontrolle durch den Landesrechnungshof dienen.</w:t>
      </w:r>
    </w:p>
    <w:p>
      <w:r>
        <w:t xml:space="preserve">(5) Der Richterrat hat in den Fällen der Absätze 3 und 4 auch mitzubestimmen, wenn eine Maßnahme probeweise oder befristet durchgeführt werden soll.</w:t>
      </w:r>
    </w:p>
    <w:p>
      <w:r>
        <w:rPr>
          <w:color w:val="555555"/>
          <w:sz w:val="17"/>
        </w:rPr>
        <w:t xml:space="preserve">Zitiervorschlag: § 41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