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LRiStaG (Nordrhein-Westfalen) — Vierteljahresgespräch</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Dienststelle und der Richterrat treten einmal im Vierteljahr zu gemeinschaftlichen Besprechungen zusammen. In ihnen soll auch die Gestaltung des Dienstbetriebs behandelt werden, insbesondere alle Vorgänge, welche die Richterinnen und Richter wesentlich berühren. Sie haben über strittige Fragen mit dem ernsten Willen zur Einigung zu verhandeln und Vorschläge für die Beilegung von Meinungsverschiedenheiten zu machen. Im Rahmen der Besprechungen unterrichtet die Dienststelle den Richterrat zweimal im Jahr über die Haushaltsplanung und die wirtschaftliche Entwicklung. Die Dienststelle ist berechtigt, zu der Besprechung für Personal- und Organisationsangelegenheiten zuständige Bedienstete hinzuzuziehen.</w:t>
      </w:r>
    </w:p>
    <w:p>
      <w:r>
        <w:t xml:space="preserve">(2) Dienststelle und Richterrat können im Einvernehmen auf die gemeinschaftliche Besprechung nach Absatz 1 verzichten.</w:t>
      </w:r>
    </w:p>
    <w:p>
      <w:r>
        <w:rPr>
          <w:color w:val="555555"/>
          <w:sz w:val="17"/>
        </w:rPr>
        <w:t xml:space="preserve">Zitiervorschlag: § 40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