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LRiStaG (Nordrhein-Westfalen) — Eintritt der Ersatzmitglieder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Scheidet ein Mitglied aus dem Richterrat aus, so tritt ein Ersatzmitglied ein. Das gleiche gilt, wenn ein Mitglied des Richterrates verhindert ist, für die Zeit der Verhinderung.</w:t>
      </w:r>
    </w:p>
    <w:p>
      <w:r>
        <w:t xml:space="preserve">(2) Die Ersatzmitglieder treten ein</w:t>
      </w:r>
    </w:p>
    <w:p>
      <w:r>
        <w:t xml:space="preserve">1. bei Verhältniswahl der Reihe nach aus den nicht gewählten Richterinnen und Richtern derjenigen Vorschlagslisten, denen die zu ersetzenden Mitglieder angehören, und</w:t>
      </w:r>
    </w:p>
    <w:p>
      <w:r>
        <w:t xml:space="preserve">2. bei Personenwahl in der Reihenfolge der jeweils höchsten Stimmenzahl, die auf die nicht gewählten Richterinnen und Richter entfallen ist.</w:t>
      </w:r>
    </w:p>
    <w:p>
      <w:r>
        <w:t xml:space="preserve">Bei gleicher Stimmenzahl entscheidet das Los.</w:t>
      </w:r>
    </w:p>
    <w:p>
      <w:r>
        <w:rPr>
          <w:color w:val="555555"/>
          <w:sz w:val="17"/>
        </w:rPr>
        <w:t xml:space="preserve">Zitiervorschlag: § 38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