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LRiStaG (Nordrhein-Westfalen) — Wahlordnung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der Wahlordnung zum Landespersonalvertretungsgesetz gelten entsprechend.</w:t>
      </w:r>
    </w:p>
    <w:p>
      <w:r>
        <w:t xml:space="preserve">(2) Richterinnen und Richter eines Gerichts, bei dem kein Richterrat gebildet ist, geben ihre Stimme schriftlich ab.</w:t>
      </w:r>
    </w:p>
    <w:p>
      <w:r>
        <w:rPr>
          <w:color w:val="555555"/>
          <w:sz w:val="17"/>
        </w:rPr>
        <w:t xml:space="preserve">Zitiervorschlag: § 37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