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LRiStaG (Nordrhein-Westfalen) — Zusammensetzung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Richterräte bestehen</w:t>
      </w:r>
    </w:p>
    <w:p>
      <w:r>
        <w:t xml:space="preserve">a) bei den Gerichten mit mehr als 150 Wahlberechtigten aus neun Richterinnen und Richtern,</w:t>
      </w:r>
    </w:p>
    <w:p>
      <w:r>
        <w:t xml:space="preserve">b) bei Gerichten mit 51 bis 150 Wahlberechtigten aus sieben Richterinnen und Richtern,</w:t>
      </w:r>
    </w:p>
    <w:p>
      <w:r>
        <w:t xml:space="preserve">c) bei Gerichten mit 21 bis 50 Wahlberechtigten aus fünf Richterinnen und Richtern,</w:t>
      </w:r>
    </w:p>
    <w:p>
      <w:r>
        <w:t xml:space="preserve">d) bei Gerichten mit 8 bis 20 Wahlberechtigten aus drei Richterinnen und Richtern,</w:t>
      </w:r>
    </w:p>
    <w:p>
      <w:r>
        <w:t xml:space="preserve">e) im Übrigen aus einer Richterin oder einem Richter.</w:t>
      </w:r>
    </w:p>
    <w:p>
      <w:r>
        <w:t xml:space="preserve">(2) Die Bezirksrichterräte und die Hauptrichterräte bestehen in der ordentlichen Gerichtsbarkeit aus neun, in den anderen Gerichtszweigen aus sieben Richterinnen und Richtern.</w:t>
      </w:r>
    </w:p>
    <w:p>
      <w:r>
        <w:rPr>
          <w:color w:val="555555"/>
          <w:sz w:val="17"/>
        </w:rPr>
        <w:t xml:space="preserve">Zitiervorschlag: § 32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