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LRiStaG (Nordrhein-Westfalen) — Umsetzung von Maßnahmen durch die Dienststelle</w:t>
      </w:r>
    </w:p>
    <w:p>
      <w:r>
        <w:rPr>
          <w:color w:val="555555"/>
          <w:sz w:val="18"/>
        </w:rPr>
        <w:t xml:space="preserve">Landesrichter- und Staatsanwältegesetz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Entscheidungen, an denen die Richtervertretung beteiligt war, führt die Dienststelle durch, es sei denn, dass im Einzelfall etwas anderes vereinbart ist.</w:t>
      </w:r>
    </w:p>
    <w:p>
      <w:r>
        <w:t xml:space="preserve">(2) Wird eine Maßnahme, der die Richtervertretung zugestimmt hat, von der Dienststelle nicht unverzüglich durchgeführt, so hat diese die Richtervertretung unter Angabe von Gründen zu unterrichten.</w:t>
      </w:r>
    </w:p>
    <w:p>
      <w:r>
        <w:rPr>
          <w:color w:val="555555"/>
          <w:sz w:val="17"/>
        </w:rPr>
        <w:t xml:space="preserve">Zitiervorschlag: § 28 LRiStaG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https://recht.nulegal.eu/gesetze/LRiStaG/28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