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LRiStaG (Nordrhein-Westfalen) — Amtszeit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Amtszeit der Richtervertretungen beträgt vier Jahre; sie beginnt und endet mit der jeweiligen Wahlperiode.</w:t>
      </w:r>
    </w:p>
    <w:p>
      <w:r>
        <w:t xml:space="preserve">(2) Nach Ablauf der Amtszeit führen die Richtervertretungen ihre Geschäfte weiter, bis die neu gewählte Richtervertretung zu ihrer ersten Sitzung zusammengetreten ist.</w:t>
      </w:r>
    </w:p>
    <w:p>
      <w:r>
        <w:rPr>
          <w:color w:val="555555"/>
          <w:sz w:val="17"/>
        </w:rPr>
        <w:t xml:space="preserve">Zitiervorschlag: § 16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