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14a LRiStaG (Nordrhein-Westfalen) — Amtstracht</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Richterinnen und Richter sowie Staatsanwältinnen und Staatsanwälte tragen Amtstracht nach näheren Bestimmungen des für Justiz zuständigen Ministeriums. Ehrenamtliche Richterinnen und Richter tragen eine Amtstracht nur, soweit dies in den erlassenen Bestimmungen vorgesehen ist. Die Bestimmungen über die Amtstracht sind unter Berücksichtigung der Vorschriften des Justizneutralitätsgesetzes vom 9. März 2021 (GV. NRW. 290) in der jeweils geltenden Fassung zu erlassen.</w:t>
      </w:r>
    </w:p>
    <w:p>
      <w:r>
        <w:t xml:space="preserve">Teil 2</w:t>
      </w:r>
    </w:p>
    <w:p>
      <w:r>
        <w:t xml:space="preserve">Richter- und Staatsanwaltsvertretungen</w:t>
      </w:r>
    </w:p>
    <w:p>
      <w:r>
        <w:t xml:space="preserve">Kapitel 1</w:t>
      </w:r>
    </w:p>
    <w:p>
      <w:r>
        <w:t xml:space="preserve">Gemeinsame Vorschriften für die Richtervertretungen</w:t>
      </w:r>
    </w:p>
    <w:p>
      <w:r>
        <w:rPr>
          <w:color w:val="555555"/>
          <w:sz w:val="17"/>
        </w:rPr>
        <w:t xml:space="preserve">Zitiervorschlag: § 14a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https://recht.nulegal.eu/gesetze/LRiStaG/14a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