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LRiStaG (Nordrhein-Westfalen) — Beurteilung, Erprobung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Eignung, Befähigung und fachliche Leistung der Richterinnen und Richter sowie Staatsanwältinnen und Staatsanwälte sollen in regelmäßigen Zeitabständen sowie aus Anlass von der dienstvorgesetzten Stelle dienstlich beurteilt werden. Richterinnen und Richter auf Probe sind spätestens 18 Monate nach Beginn und unmittelbar vor Ablauf der Probezeit, Richterinnen und Richter kraft Auftrags spätestens vor der Lebenszeiternennung zu beurteilen. Bei der Beurteilung von Richterinnen und Richtern sind die sich aus § 26 Absatz 1 und 2 des Deutschen Richtergesetzes ergebenen Beschränkungen zu beachten.</w:t>
      </w:r>
    </w:p>
    <w:p>
      <w:r>
        <w:t xml:space="preserve">(2) Die Beurteilungen schließen mit einem Gesamturteil ab.</w:t>
      </w:r>
    </w:p>
    <w:p>
      <w:r>
        <w:t xml:space="preserve">(3) Der oder dem zu Beurteilenden ist der Entwurf der beabsichtigten Beurteilung zur Kenntnis zu bringen und Gelegenheit zur mündlichen Erörterung der in Aussicht genommenen Beurteilung zu geben. Dies gilt auch für die Überbeurteilung, es sei denn, es ist keine Abweichung beabsichtigt oder eine Abweichung dient ausschließlich der Herstellung eines einheitlichen Beurteilungsmaßstabes. In dem Gespräch soll das Leistungs-, Befähigungs- und Entwicklungsbild, das die oder der Beurteilende zur Grundlage der Beurteilung machen will, mit der eigenen Einschätzung der oder des zu Beurteilenden abgeglichen und die Möglichkeit gegeben werden, die aus ihrer oder seiner Sicht für die Beurteilung wichtigen Punkte darzulegen. Dabei sind die Beurteilungsgrundlagen auf Wunsch offenzulegen.</w:t>
      </w:r>
    </w:p>
    <w:p>
      <w:r>
        <w:t xml:space="preserve">(4) Die Beurteilungen sind zu den Personalakten der Beurteilten zu nehmen. Vor Aufnahme in die Personalakte ist die Beurteilung zu eröffnen und den Beurteilten Gelegenheit zu geben, die Beurteilung mit der dienstvorgesetzten Stelle zu besprechen. Eine Gegenäußerung der oder des Beurteilten ist zu den Personalakten zu nehmen.</w:t>
      </w:r>
    </w:p>
    <w:p>
      <w:r>
        <w:t xml:space="preserve">(5) Das Nähere regelt das für Justiz zuständige Ministerium durch Rechtsverordnung, insbesondere die Zeitabstände der Beurteilungen und die Beurteilungsanlässe. In der Rechtsverordnung nach Satz 1 sind auch Vorschriften über eine fiktive Fortschreibung dienstlicher Beurteilungen der Richterinnen und Richter sowie Staatsanwältinnen und Staatsanwälte zu treffen.</w:t>
      </w:r>
    </w:p>
    <w:p>
      <w:r>
        <w:t xml:space="preserve">(6) Die erstmalige Übertragung eines Amts mit höherem Endgrundgehalt als dem eines Eingangsamts setzt bei Richterinnen und Richtern sowie Staatsanwältinnen und Staatsanwälten eine Erprobung voraus. Das Nähere regelt das für Justiz zuständige Ministerium durch Rechtsverordnung, insbesondere die an die Erprobung zu stellenden Anforderungen, die für eine Erprobung geeigneten Dienststellen und den Inhalt der Beurteilung nach Abschluss der Erprobung. Satz 1 gilt nicht für die Übertragung des Amts als Richterin oder Richter am Finanzgericht. In der Rechtsverordnung nach Satz 2 können weitere Ämter von dem Erfordernis einer Erprobung ausgenommen werden.</w:t>
      </w:r>
    </w:p>
    <w:p>
      <w:r>
        <w:rPr>
          <w:color w:val="555555"/>
          <w:sz w:val="17"/>
        </w:rPr>
        <w:t xml:space="preserve">Zitiervorschlag: § 14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