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LRiStaG (Nordrhein-Westfalen) — Benachteiligungsverbot</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Teilzeitbeschäftigung und Beurlaubung nach den §§ 7, 9 oder 10 dürfen das berufliche Fortkommen nicht beeinträchtigen. Eine unterschiedliche Behandlung von Richterinnen und Richtern mit Teilzeitbeschäftigung gegenüber Richterinnen und Richtern mit Vollzeitbeschäftigung ist nur zulässig, wenn zwingende sachliche Gründe sie rechtfertigen.</w:t>
      </w:r>
    </w:p>
    <w:p>
      <w:r>
        <w:t xml:space="preserve">(2) Teilzeit, mobile Arbeit, Jobsharing und andere Arbeitsorganisationsformen stehen der Übernahme und Wahrnehmung von Vorgesetzten- und Leitungsaufgaben grundsätzlich nicht entgegen und sind in Leitungsfunktionen für alle Geschlechter zu fördern.</w:t>
      </w:r>
    </w:p>
    <w:p>
      <w:r>
        <w:rPr>
          <w:color w:val="555555"/>
          <w:sz w:val="17"/>
        </w:rPr>
        <w:t xml:space="preserve">Zitiervorschlag: § 12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