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LRSRV (Brandenburg) — Inkrafttreten</w:t>
      </w:r>
    </w:p>
    <w:p>
      <w:r>
        <w:rPr>
          <w:color w:val="555555"/>
          <w:sz w:val="18"/>
        </w:rPr>
        <w:t xml:space="preserve">Lesen-Rechtschreiben-Rechnen 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mit Wirkung vom 1. August 2017 in Kraft.</w:t>
      </w:r>
    </w:p>
    <w:p>
      <w:r>
        <w:t xml:space="preserve">Einzelnorm</w:t>
      </w:r>
    </w:p>
    <w:p>
      <w:r>
        <w:t xml:space="preserve">Potsdam, den 17. August 2017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Günter Baaske</w:t>
      </w:r>
    </w:p>
    <w:p>
      <w:r>
        <w:rPr>
          <w:color w:val="555555"/>
          <w:sz w:val="17"/>
        </w:rPr>
        <w:t xml:space="preserve">Zitiervorschlag: § 9 LRSRV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https://recht.nulegal.eu/gesetze/LRSRV/9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