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LRSRV (Brandenburg) — Leistungsfeststellung und Leistungsbewertung</w:t>
      </w:r>
    </w:p>
    <w:p>
      <w:r>
        <w:rPr>
          <w:color w:val="555555"/>
          <w:sz w:val="18"/>
        </w:rPr>
        <w:t xml:space="preserve">Lesen-Rechtschreiben-Rechnen 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den Jahrgangsstufen 1 bis 10 kann Schülerinnen und Schülern mit besonderen Schwierigkeiten im Rechnen ein Nachteilsausgleich gewährt werden. Der Nachteilsausgleich soll die vorhandenen Schwierigkeiten im Rechnen ausgleichen und es diesen Schülerinnen und Schülern ermöglichen, vorhandene Fähigkeiten, Fertigkeiten und Kenntnisse in den zu erbringenden schriftlichen Leistungen nachzuweisen.</w:t>
      </w:r>
    </w:p>
    <w:p>
      <w:r>
        <w:t xml:space="preserve">(2) Der Nachteilsausgleich kann</w:t>
      </w:r>
    </w:p>
    <w:p>
      <w:r>
        <w:t xml:space="preserve">die Verlängerung der Arbeitszeit bei zu erbringenden schriftlichen Leistungen,</w:t>
      </w:r>
    </w:p>
    <w:p>
      <w:r>
        <w:t xml:space="preserve">das Zulassen von Platz für Nebenrechnungen und</w:t>
      </w:r>
    </w:p>
    <w:p>
      <w:r>
        <w:t xml:space="preserve">den Einsatz besonderer didaktisch-methodischer Hilfsmittel</w:t>
      </w:r>
    </w:p>
    <w:p>
      <w:r>
        <w:t xml:space="preserve">umfassen.</w:t>
      </w:r>
    </w:p>
    <w:p>
      <w:r>
        <w:t xml:space="preserve">(3) Die Entscheidungen über die Gewährung eines Nachteilsausgleichs trifft die Klassenkonferenz.</w:t>
      </w:r>
    </w:p>
    <w:p>
      <w:r>
        <w:t xml:space="preserve">Einzelnorm</w:t>
      </w:r>
    </w:p>
    <w:p>
      <w:r>
        <w:rPr>
          <w:color w:val="555555"/>
          <w:sz w:val="17"/>
        </w:rPr>
        <w:t xml:space="preserve">Zitiervorschlag: § 7 LRSRV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https://recht.nulegal.eu/gesetze/LRSRV/7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