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LRSRV (Brandenburg) — Fördermaßnahmen</w:t>
      </w:r>
    </w:p>
    <w:p>
      <w:r>
        <w:rPr>
          <w:color w:val="555555"/>
          <w:sz w:val="18"/>
        </w:rPr>
        <w:t xml:space="preserve">Lesen-Rechtschreiben-Rechnen 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Schülerinnen und Schüler mit besonderen Schwierigkeiten im Lesen und Rechtschreiben gelten in der Grundschule die Regelungen des § 6 der Grundschulverordnung. Die zusätzliche Förderung kann auch parallel zum Regelunterricht der Klasse durchgeführt werden. Dabei ist zu vermeiden, dass ein Fach durch die parallele Förderung besonders stark betroffen ist.</w:t>
      </w:r>
    </w:p>
    <w:p>
      <w:r>
        <w:t xml:space="preserve">(2) Eine zusätzliche Förderung im Lesen und Rechtschreiben ist in den Schulen der Sekundarstufe I und II fortzusetzen, wenn die besonderen Schwierigkeiten im Lesen und Rechtschreiben während der Grundschulzeit nicht behoben werden können. Zusätzlich zum Regelunterricht kann als Förderunterricht gemäß der VV-Unterrichtsorganisation eine zusätzliche Förderung für besondere Schwierigkeiten im Lesen und Rechtschreiben erteilt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LRSRV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https://recht.nulegal.eu/gesetze/LRSRV/4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