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LRSRV (Brandenburg) — Geltungsbereich</w:t>
      </w:r>
    </w:p>
    <w:p>
      <w:r>
        <w:rPr>
          <w:color w:val="555555"/>
          <w:sz w:val="18"/>
        </w:rPr>
        <w:t xml:space="preserve">Lesen-Rechtschreiben-Rechnen 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gilt für alle Schülerinnen und Schüler in den Bildungsgängen gemäß § 15 Absatz 3 Nummer 1 bis 3 des Brandenburgischen Schulgesetzes und entsprechend für Studierende in den Bildungsgängen gemäß § 15 Absatz 3 Nummer 5 und 6 des Brandenburgischen Schulgesetzes.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1 LRSRV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https://recht.nulegal.eu/gesetze/LRSRV/1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