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LRKG (Nordrhein-Westfalen) — Verbindung von Dienstreisen mit anderen Reisen</w:t>
      </w:r>
    </w:p>
    <w:p>
      <w:r>
        <w:rPr>
          <w:color w:val="555555"/>
          <w:sz w:val="18"/>
        </w:rPr>
        <w:t xml:space="preserve">Landesreisekostengesetz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die Dienstreise mit einer privaten Reise verbunden, ist die Reisekostenvergütung so zu bemessen, als wäre nur die Dienstreise durchgeführt worden. Die Reisekostenvergütung darf die nach dem tatsächlichen Reiseverlauf entstandenen Kosten nicht übersteigen.</w:t>
      </w:r>
    </w:p>
    <w:p>
      <w:r>
        <w:t xml:space="preserve">(2) Ist angeordnet oder genehmigt worden, eine Dienstreise an einem Urlaubsort oder einem anderen vorübergehenden Aufenthaltsort</w:t>
      </w:r>
    </w:p>
    <w:p>
      <w:r>
        <w:t xml:space="preserve">1. anzutreten,</w:t>
      </w:r>
    </w:p>
    <w:p>
      <w:r>
        <w:t xml:space="preserve">2. zu beenden oder</w:t>
      </w:r>
    </w:p>
    <w:p>
      <w:r>
        <w:t xml:space="preserve">3. anzutreten und zu beenden,</w:t>
      </w:r>
    </w:p>
    <w:p>
      <w:r>
        <w:t xml:space="preserve">tritt dieser Ort an die nach § 2 Absatz 5 maßgebliche Stelle. Absatz 1 Satz 2 ist entsprechend anzuwenden. In den Fällen des Satzes 1 Nummer 1 und 2 werden auf die Reisekostenvergütung Fahrkosten oder Wegstreckenentschädigung für die kürzeste Reisestrecke zwischen dem Urlaubsort oder dem anderen vorübergehenden Aufenthaltsort und dem Dienstort oder der Wohnung angerechnet.</w:t>
      </w:r>
    </w:p>
    <w:p>
      <w:r>
        <w:t xml:space="preserve">(3) Wird aus dienstlichen Gründen die vorzeitige Beendigung eines Urlaubs oder die vorzeitige Abreise von einem anderen vorübergehenden Aufenthaltsort angeordnet, gilt die Rückreise unmittelbar oder über den Geschäftsort zu der nach § 2 Absatz 5 maßgeblichen Stelle als Dienstreise, für die Reisekostenvergütung gewährt wird. Kosten für die Hinreise der Dienstreisenden und der sie begleitenden Personen werden im Verhältnis des auf Grund der vorzeitigen Beendigung nicht ausgenutzten Teils des Urlaubs oder des Aufenthalts erstattet. Dies gilt entsprechend für sonstige Aufwendungen.</w:t>
      </w:r>
    </w:p>
    <w:p>
      <w:r>
        <w:rPr>
          <w:color w:val="555555"/>
          <w:sz w:val="17"/>
        </w:rPr>
        <w:t xml:space="preserve">Zitiervorschlag: § 13 LRKG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https://recht.nulegal.eu/gesetze/LRKG/13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