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LRHG (Brandenburg) — Geschäftsverteilung</w:t>
      </w:r>
    </w:p>
    <w:p>
      <w:r>
        <w:rPr>
          <w:color w:val="555555"/>
          <w:sz w:val="18"/>
        </w:rPr>
        <w:t xml:space="preserve">Landesrechnungshofgesetz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 Beginn des Geschäftsjahres teilt der Präsident die Geschäfte des Landesrechnungshofes, soweit sie ihm nicht durch Gesetz zugewiesen sind, den Mitgliedern zu und bestimmt die Zusammensetzung der Kleinen Kollegien.</w:t>
      </w:r>
    </w:p>
    <w:p>
      <w:r>
        <w:t xml:space="preserve">(2) Die Anordnung kann im Laufe des Geschäftsjahres nur geändert werden, wenn dies wegen Überlastung, Wechsels oder dauernder Verhinderung einzelner Mitglieder erforderlich ist.</w:t>
      </w:r>
    </w:p>
    <w:p>
      <w:r>
        <w:t xml:space="preserve">(3) Hält ein Mitglied seine Unabhängigkeit für beeinträchtigt, so kann es das Große Kollegium zur Entscheidung anrufen.</w:t>
      </w:r>
    </w:p>
    <w:p>
      <w:r>
        <w:rPr>
          <w:color w:val="555555"/>
          <w:sz w:val="17"/>
        </w:rPr>
        <w:t xml:space="preserve">Zitiervorschlag: § 8 LRHG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https://recht.nulegal.eu/gesetze/LRHG/8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