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LRHG (Brandenburg) — Zusammensetzung und Organisation</w:t>
      </w:r>
    </w:p>
    <w:p>
      <w:r>
        <w:rPr>
          <w:color w:val="555555"/>
          <w:sz w:val="18"/>
        </w:rPr>
        <w:t xml:space="preserve">Landesrechnungshofgesetz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Landesrechnungshof besteht aus dem Präsidenten, dem Vizepräsidenten und den anderen zu Mitgliedern ernannten Beamten.</w:t>
      </w:r>
    </w:p>
    <w:p>
      <w:r>
        <w:t xml:space="preserve">(2) Der Landesrechnungshof gliedert sich in Prüfungsabteilungen. Für die Verwaltung besteht eine Präsidialabteilung.</w:t>
      </w:r>
    </w:p>
    <w:p>
      <w:r>
        <w:t xml:space="preserve">(3) Der Landesrechnungshof wird mit der erforderlichen Anzahl von Prüfern und sonstigen Bediensteten ausgestattet. Die zuständigen Landesbehörden stellen dem Landesrechnungshof auf Ersuchen geeignete Bedienstete zur Verfügung.</w:t>
      </w:r>
    </w:p>
    <w:p>
      <w:r>
        <w:rPr>
          <w:color w:val="555555"/>
          <w:sz w:val="17"/>
        </w:rPr>
        <w:t xml:space="preserve">Zitiervorschlag: § 2 LRHG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https://recht.nulegal.eu/gesetze/LRHG/2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