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LRHG (Brandenburg) — Verbot der sachfremden Nutzung dienstlicher Erkenntnisse, Beratungsgeheimnis</w:t>
      </w:r>
    </w:p>
    <w:p>
      <w:r>
        <w:rPr>
          <w:color w:val="555555"/>
          <w:sz w:val="18"/>
        </w:rPr>
        <w:t xml:space="preserve">Landesrechnungshofgesetz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und die übrigen Bediensteten dürfen von den ihnen durch Ihre Tätigkeit bekannt gewordenen Tatsachen und Entscheidungen nur zur Erfüllung ihrer Aufgaben Gebrauch machen.</w:t>
      </w:r>
    </w:p>
    <w:p>
      <w:r>
        <w:t xml:space="preserve">(2) Die Mitglieder des Landesrechnungshofes haben über den Hergang bei der Beratung und Abstimmung auch nach der Beendigung des Dienstverhältnisses zu schweigen.</w:t>
      </w:r>
    </w:p>
    <w:p>
      <w:r>
        <w:rPr>
          <w:color w:val="555555"/>
          <w:sz w:val="17"/>
        </w:rPr>
        <w:t xml:space="preserve">Zitiervorschlag: § 12 LRHG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https://recht.nulegal.eu/gesetze/LRHG/12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