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LRHG (Brandenburg) — Stellung und Sitz</w:t>
      </w:r>
    </w:p>
    <w:p>
      <w:r>
        <w:rPr>
          <w:color w:val="555555"/>
          <w:sz w:val="18"/>
        </w:rPr>
        <w:t xml:space="preserve">Landesrechnungshofgesetz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ist eine oberste Landesbehörde und als unabhängiges Organ der Finanzkontrolle nur dem Gesetz unterworfen. Im Rahmen seiner gesetzlichen Aufgaben unterstützt er den Landtag und die Landesregierung bei ihren Entscheidungen.</w:t>
      </w:r>
    </w:p>
    <w:p>
      <w:r>
        <w:t xml:space="preserve">(2) Der Landesrechnungshof hat seinen Sitz in Potsdam. Er kann Außenstellen einrichten.</w:t>
      </w:r>
    </w:p>
    <w:p>
      <w:r>
        <w:rPr>
          <w:color w:val="555555"/>
          <w:sz w:val="17"/>
        </w:rPr>
        <w:t xml:space="preserve">Zitiervorschlag: § 1 LRHG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