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LRDPV (Brandenburg) — Inkrafttreten, Außerkrafttreten</w:t>
      </w:r>
    </w:p>
    <w:p>
      <w:r>
        <w:rPr>
          <w:color w:val="555555"/>
          <w:sz w:val="18"/>
        </w:rPr>
        <w:t xml:space="preserve">Landesrettungsdienstplanverordnung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Verordnung über den Landesrettungsdienstplan des Landes Brandenburg vom 24. Februar 1997 ( GVBl. II S. 106) außer Kraft.</w:t>
      </w:r>
    </w:p>
    <w:p>
      <w:r>
        <w:t xml:space="preserve">Potsdam, den 24. Oktober 2011</w:t>
      </w:r>
    </w:p>
    <w:p>
      <w:r>
        <w:t xml:space="preserve">Die Ministerin für Umwelt,</w:t>
      </w:r>
    </w:p>
    <w:p>
      <w:r>
        <w:t xml:space="preserve">Gesundheit und Verbraucherschutz</w:t>
      </w:r>
    </w:p>
    <w:p>
      <w:r>
        <w:t xml:space="preserve">Anita Tack</w:t>
      </w:r>
    </w:p>
    <w:p>
      <w:r>
        <w:rPr>
          <w:color w:val="555555"/>
          <w:sz w:val="17"/>
        </w:rPr>
        <w:t xml:space="preserve">Zitiervorschlag: § 20 LRDPV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https://recht.nulegal.eu/gesetze/LRDPV/20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