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LRAuszG (Bayern)</w:t>
      </w:r>
    </w:p>
    <w:p>
      <w:r>
        <w:rPr>
          <w:color w:val="555555"/>
          <w:sz w:val="18"/>
        </w:rPr>
        <w:t xml:space="preserve">Gesetz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eine Rettungstat unter besonders schwierigen Umständen, aber ohne unmittelbare Lebensgefahr ausgeführt worden, so wird eine öffentliche Belobigung ausgesprochen.</w:t>
      </w:r>
    </w:p>
    <w:p>
      <w:r>
        <w:t xml:space="preserve">(2) Die Vorschriften des Art. 1 dieses Gesetzes gelten sinngemäß.</w:t>
      </w:r>
    </w:p>
    <w:p>
      <w:r>
        <w:rPr>
          <w:color w:val="555555"/>
          <w:sz w:val="17"/>
        </w:rPr>
        <w:t xml:space="preserve">Zitiervorschlag: Art 5 LRAuszG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https://recht.nulegal.eu/gesetze/LRAuszG/5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