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 LRAuszG (Bayern)</w:t>
      </w:r>
    </w:p>
    <w:p>
      <w:r>
        <w:rPr>
          <w:color w:val="555555"/>
          <w:sz w:val="18"/>
        </w:rPr>
        <w:t xml:space="preserve">Gesetz über staatliche Auszeichnungen für die Rettung von Menschen aus Lebensgefahr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Bayerische Rettungsmedaille geht in das Eigentum des Beliehenen über. Seine Hinterbliebenen sind nicht zur Rückgabe verpflichtet.</w:t>
      </w:r>
    </w:p>
    <w:p>
      <w:r>
        <w:t xml:space="preserve">(2) Im Fall des Art. 1 Abs. 4 dieses Gesetzes werden die Bayerische Rettungsmedaille und die Verleihungsurkunde den Hinterbliebenen ausgehändigt. Ein Anspruch bestimmter Hinterbliebener auf die Aushändigung besteht nicht.</w:t>
      </w:r>
    </w:p>
    <w:p>
      <w:r>
        <w:rPr>
          <w:color w:val="555555"/>
          <w:sz w:val="17"/>
        </w:rPr>
        <w:t xml:space="preserve">Zitiervorschlag: Art 4 LRAuszG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https://recht.nulegal.eu/gesetze/LRAuszG/4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