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LRAuszG (Bayern)</w:t>
      </w:r>
    </w:p>
    <w:p>
      <w:r>
        <w:rPr>
          <w:color w:val="555555"/>
          <w:sz w:val="18"/>
        </w:rPr>
        <w:t xml:space="preserve">Gesetz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Ausführung dieses Gesetzes erforderlichen Vorschriften erläßt die Staatsregierung.</w:t>
      </w:r>
    </w:p>
    <w:p>
      <w:r>
        <w:rPr>
          <w:color w:val="555555"/>
          <w:sz w:val="17"/>
        </w:rPr>
        <w:t xml:space="preserve">Zitiervorschlag: Art 12 LRAuszG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https://recht.nulegal.eu/gesetze/LRAuszG/12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