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LQAV (Brandenburg) — Statistik</w:t>
      </w:r>
    </w:p>
    <w:p>
      <w:r>
        <w:rPr>
          <w:color w:val="555555"/>
          <w:sz w:val="18"/>
        </w:rPr>
        <w:t xml:space="preserve">Lehrerqualifikationsanerkennungsverordnung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Durchführung einer Statistik über die Verfahren zur Feststellung der Gleichwertigkeit gilt § 17 des Brandenburgischen Berufsqualifikationsfeststellungsgesetzes.</w:t>
      </w:r>
    </w:p>
    <w:p>
      <w:r>
        <w:rPr>
          <w:color w:val="555555"/>
          <w:sz w:val="17"/>
        </w:rPr>
        <w:t xml:space="preserve">Zitiervorschlag: § 17 LQAV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https://recht.nulegal.eu/gesetze/LQAV/17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