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LPlG DVO (Nordrhein-Westfalen) — Inkrafttreten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ihrer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Die Ministerin</w:t>
      </w:r>
    </w:p>
    <w:p>
      <w:r>
        <w:t xml:space="preserve">für Wirtschaft, Mittelstand und Energie</w:t>
      </w:r>
    </w:p>
    <w:p>
      <w:r>
        <w:t xml:space="preserve">Der Innenminister</w:t>
      </w:r>
    </w:p>
    <w:p>
      <w:r>
        <w:t xml:space="preserve">Der Minister</w:t>
      </w:r>
    </w:p>
    <w:p>
      <w:r>
        <w:t xml:space="preserve">für Bauen und Verkehr</w:t>
      </w:r>
    </w:p>
    <w:p>
      <w:r>
        <w:t xml:space="preserve">Die Justizministerin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rPr>
          <w:color w:val="555555"/>
          <w:sz w:val="17"/>
        </w:rPr>
        <w:t xml:space="preserve">Zitiervorschlag: § 42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