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41 LPlG DVO (Nordrhein-Westfalen) — Übergangsvorschrift</w:t>
      </w:r>
    </w:p>
    <w:p>
      <w:r>
        <w:rPr>
          <w:color w:val="555555"/>
          <w:sz w:val="18"/>
        </w:rPr>
        <w:t xml:space="preserve">LandesplanungsgesetzDVO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bei Inkrafttreten dieser Verordnung bereits förmlich eingeleiteten Verfahren zur Aufstellung, Änderung oder Ergänzung von Raumordnungsplänen werden nach bisherigem Recht weitergeführt.</w:t>
      </w:r>
    </w:p>
    <w:p>
      <w:r>
        <w:rPr>
          <w:color w:val="555555"/>
          <w:sz w:val="17"/>
        </w:rPr>
        <w:t xml:space="preserve">Zitiervorschlag: § 41 LPlG DVO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https://recht.nulegal.eu/gesetze/LPlG%20DVO/41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