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37 LPlG DVO (Nordrhein-Westfalen) — Planbeschluss</w:t>
      </w:r>
    </w:p>
    <w:p>
      <w:r>
        <w:rPr>
          <w:color w:val="555555"/>
          <w:sz w:val="18"/>
        </w:rPr>
        <w:t xml:space="preserve">LandesplanungsgesetzDVO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Regionale Flächennutzungsplan wird durch die Räte der der Planungsgemeinschaft angehörenden Gemeinden gemeinsam beschlossen.</w:t>
      </w:r>
    </w:p>
    <w:p>
      <w:r>
        <w:t xml:space="preserve">(2) Die Räte können bestimmen, welche Gemeinde den Planbeschluss zugleich für alle Mitglieder der Planungsgemeinschaft der Landesplanungsbehörde zur Genehmigung vorlegt.</w:t>
      </w:r>
    </w:p>
    <w:p>
      <w:r>
        <w:t xml:space="preserve">(3) Der Regionale Flächennutzungsplan kann während des Bestehens der Planungsgemeinschaft nur durch einen gemeinsamen Beschluss aller an der Planungsgemeinschaft beteiligten Gemeinden geändert, ergänzt oder aufgehoben werden.</w:t>
      </w:r>
    </w:p>
    <w:p>
      <w:r>
        <w:rPr>
          <w:color w:val="555555"/>
          <w:sz w:val="17"/>
        </w:rPr>
        <w:t xml:space="preserve">Zitiervorschlag: § 37 LPlG DVO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https://recht.nulegal.eu/gesetze/LPlG%20DVO/37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