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36 LPlG DVO (Nordrhein-Westfalen) — Inhalt des Regionalen Flächennutzungsplans</w:t>
      </w:r>
    </w:p>
    <w:p>
      <w:r>
        <w:rPr>
          <w:color w:val="555555"/>
          <w:sz w:val="18"/>
        </w:rPr>
        <w:t xml:space="preserve">LandesplanungsgesetzDVO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dem Regionalen Flächennutzungsplan sind sowohl die Festlegungen im Sinne des § 8 Absatz 5 bis 7 Raumordnungsgesetz in der jeweils geltenden Fassung als auch die Darstellungen im Sinne des § 5 Baugesetzbuch zu kennzeichnen.</w:t>
      </w:r>
    </w:p>
    <w:p>
      <w:r>
        <w:t xml:space="preserve">(2) Die zeichnerischen Darstellungen erfolgen im Maßstab 1 : 50 000. Sie müssen nach Gegenstand, Form und Inhalt der Anlage 3 entsprechen.</w:t>
      </w:r>
    </w:p>
    <w:p>
      <w:r>
        <w:rPr>
          <w:color w:val="555555"/>
          <w:sz w:val="17"/>
        </w:rPr>
        <w:t xml:space="preserve">Zitiervorschlag: § 36 LPlG DVO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https://recht.nulegal.eu/gesetze/LPlG%20DVO/36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