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LPlG DVO (Nordrhein-Westfalen) — Ausnahmen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Landesplanungsbehörde kann im Einzelfall Ausnahmen von den Vorschriften des § 30 zulassen.</w:t>
      </w:r>
    </w:p>
    <w:p>
      <w:r>
        <w:t xml:space="preserve">Teil 3</w:t>
      </w:r>
    </w:p>
    <w:p>
      <w:r>
        <w:t xml:space="preserve">Regionalpläne und Landesentwicklungsplan</w:t>
      </w:r>
    </w:p>
    <w:p>
      <w:r>
        <w:t xml:space="preserve">Kapitel 1</w:t>
      </w:r>
    </w:p>
    <w:p>
      <w:r>
        <w:t xml:space="preserve">Inhalte der Regionalpläne</w:t>
      </w:r>
    </w:p>
    <w:p>
      <w:r>
        <w:rPr>
          <w:color w:val="555555"/>
          <w:sz w:val="17"/>
        </w:rPr>
        <w:t xml:space="preserve">Zitiervorschlag: § 31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