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LPlG DVO (Nordrhein-Westfalen) — Ersatz für Verdienstausfall, Fahrtkostenerstattung, Übernachtungsgeld und Reisekostenvergütung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in § 27 Absatz 1 genannten Personen gelten §§ 12 bis 15 entsprechend.</w:t>
      </w:r>
    </w:p>
    <w:p>
      <w:r>
        <w:t xml:space="preserve">Kapitel 4</w:t>
      </w:r>
    </w:p>
    <w:p>
      <w:r>
        <w:t xml:space="preserve">Braunkohlenpläne</w:t>
      </w:r>
    </w:p>
    <w:p>
      <w:r>
        <w:rPr>
          <w:color w:val="555555"/>
          <w:sz w:val="17"/>
        </w:rPr>
        <w:t xml:space="preserve">Zitiervorschlag: § 29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