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LPlG DVO (Nordrhein-Westfalen) — Aufwandsentschädigung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Mitglieder des Braunkohlenausschusses gilt § 11 entsprechend.</w:t>
      </w:r>
    </w:p>
    <w:p>
      <w:r>
        <w:t xml:space="preserve">(2) Die Mitglieder der Arbeitskreise und des Ältestenrates sowie die zu den betreffenden Sitzungen geladenen Sachverständigen erhalten für die Teilnahme an den Sitzungen als Aufwandsentschädigung ein Sitzungsgeld entsprechend § 11. Die Teilnahme an den Sitzungen ist durch eine Anwesenheitsliste nachzuweisen.</w:t>
      </w:r>
    </w:p>
    <w:p>
      <w:r>
        <w:t xml:space="preserve">(3) Für das vorsitzende Mitglied des Braunkohlenausschusses, dessen Stellvertretung und die Sprecher der im Braunkohlenausschuss vertretenen Parteien und Wählergruppen gilt § 17 entsprechend.</w:t>
      </w:r>
    </w:p>
    <w:p>
      <w:r>
        <w:rPr>
          <w:color w:val="555555"/>
          <w:sz w:val="17"/>
        </w:rPr>
        <w:t xml:space="preserve">Zitiervorschlag: § 28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