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LPlG DVO (Nordrhein-Westfalen) — Entgelt für die Mitglieder des Braunkohlenausschusses, seiner Arbeitskreise, seines Ältestenrates und für geladene Sachverständige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Mitglieder des Braunkohlenausschusses, der Arbeitskreise und des Ältestenrates gilt § 10 entsprechend.</w:t>
      </w:r>
    </w:p>
    <w:p>
      <w:r>
        <w:t xml:space="preserve">(2) Die zu den Sitzungen geladenen Sachverständigen erhalten</w:t>
      </w:r>
    </w:p>
    <w:p>
      <w:r>
        <w:t xml:space="preserve">1. Aufwandsentschädigung,</w:t>
      </w:r>
    </w:p>
    <w:p>
      <w:r>
        <w:t xml:space="preserve">2. Ersatz für Verdienstausfall (§ 12) und</w:t>
      </w:r>
    </w:p>
    <w:p>
      <w:r>
        <w:t xml:space="preserve">3. Fahrkostenerstattung aus Anlass von Sitzungen (§ 13).</w:t>
      </w:r>
    </w:p>
    <w:p>
      <w:r>
        <w:rPr>
          <w:color w:val="555555"/>
          <w:sz w:val="17"/>
        </w:rPr>
        <w:t xml:space="preserve">Zitiervorschlag: § 27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