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LPlG DVO (Nordrhein-Westfalen) — Wahl der Mitglieder der Kommunalen Bank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des Braunkohlenausschusses nach § 21 Absatz 1 des Landesplanungsgesetzes Nordrhein-Westfalen sind innerhalb von zehn Wochen nach Beginn der Wahlzeit der Vertretungskörperschaft zu wählen.</w:t>
      </w:r>
    </w:p>
    <w:p>
      <w:r>
        <w:t xml:space="preserve">(2) Das Ergebnis der Wahlen (Familienname, Vorname, Beruf oder Stand, Geburtsdatum, Geburtsort, Straße und Wohnort, Partei- oder Gruppenzugehörigkeit, wählende Körperschaft) ist mit einer Niederschrift über die Sitzung der Vertretung der Bezirksregierung Köln spätestens eine Woche nach Ablauf der in Absatz 1 genannten Frist mitzuteilen.</w:t>
      </w:r>
    </w:p>
    <w:p>
      <w:r>
        <w:rPr>
          <w:color w:val="555555"/>
          <w:sz w:val="17"/>
        </w:rPr>
        <w:t xml:space="preserve">Zitiervorschlag: § 22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