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LPlG DVO (Nordrhein-Westfalen) — Maßgebende Einwohnerzahl</w:t>
      </w:r>
    </w:p>
    <w:p>
      <w:r>
        <w:rPr>
          <w:color w:val="555555"/>
          <w:sz w:val="18"/>
        </w:rPr>
        <w:t xml:space="preserve">LandesplanungsgesetzDVO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Bezirksregierung Köln soll den kreisfreien Städten, der Städteregion Aachen und den Kreisen des Braunkohlenplangebietes spätestens zwei Wochen nach den Gemeindewahlen die auf Grund der maßgebenden Einwohnerzahl (§ 2 der Verordnung zur Bestimmung der maßgebenden Einwohnerzahl nach § 96 Absatz 1 des Verwaltungsverfahrensgesetzes in der jeweils geltenden Fassung) zu ermittelnde Zahl der von ihnen gemäß § 21 Absatz 2 des Landesplanungsgesetzes Nordrhein-Westfalen zu wählenden Mitglieder des Braunkohlenausschusses bekannt geben.</w:t>
      </w:r>
    </w:p>
    <w:p>
      <w:r>
        <w:rPr>
          <w:color w:val="555555"/>
          <w:sz w:val="17"/>
        </w:rPr>
        <w:t xml:space="preserve">Zitiervorschlag: § 21 LPlG DVO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https://recht.nulegal.eu/gesetze/LPlG%20DVO/21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