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LPlG DVO (Nordrhein-Westfalen) — Zuwendungen für die Regionalen Planungsträger</w:t>
      </w:r>
    </w:p>
    <w:p>
      <w:r>
        <w:rPr>
          <w:color w:val="555555"/>
          <w:sz w:val="18"/>
        </w:rPr>
        <w:t xml:space="preserve">LandesplanungsgesetzDVO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Regionalen Planungsträger erhalten zur Erfüllung ihrer Aufgaben Geld- und Sachleistungen aus dem Landeshaushalt.</w:t>
      </w:r>
    </w:p>
    <w:p>
      <w:r>
        <w:t xml:space="preserve">(2) Die Geldleistungen werden als Pauschalbetrag ausgezahlt. Ihre Höhe wird im Landeshaushalt festgesetzt. Die empfangsberechtigten Stellen entscheiden über die Verteilung innerhalb ihres Gremiums; dabei ist sicherzustellen, dass die Fraktionen der Regionalräte einen Sockelbetrag erhalten. Über die Verwendung der Zuwendungen ist ein Nachweis in einfacher Form zu führen, der der Bezirksregierung zuzuleiten ist.</w:t>
      </w:r>
    </w:p>
    <w:p>
      <w:r>
        <w:t xml:space="preserve">(3) Die empfangsberechtigten Stellen dürfen diese Leistungen nur für Aufgaben verwenden, die ihnen nach dem Gesetz obliegen.</w:t>
      </w:r>
    </w:p>
    <w:p>
      <w:r>
        <w:t xml:space="preserve">Teil 2</w:t>
      </w:r>
    </w:p>
    <w:p>
      <w:r>
        <w:t xml:space="preserve">Braunkohlenplanung</w:t>
      </w:r>
    </w:p>
    <w:p>
      <w:r>
        <w:t xml:space="preserve">Kapitel 1</w:t>
      </w:r>
    </w:p>
    <w:p>
      <w:r>
        <w:t xml:space="preserve">Abgrenzung des Braunkohlenplangebietes</w:t>
      </w:r>
    </w:p>
    <w:p>
      <w:r>
        <w:rPr>
          <w:color w:val="555555"/>
          <w:sz w:val="17"/>
        </w:rPr>
        <w:t xml:space="preserve">Zitiervorschlag: § 18 LPlG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https://recht.nulegal.eu/gesetze/LPlG%20DVO/18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