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LPlG DVO (Nordrhein-Westfalen) — Reisekostenvergütung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Dienstreisen erhalten die Mitglieder der Regionalräte Reisekostenvergütung nach Maßgabe des Landesreisekostengesetzes in der jeweils geltenden Fassung. Die Genehmigung erteilt das vorsitzende Mitglied des Regionalrates im Einvernehmen mit der Bezirksregierung; die Prüfung der Bezirksregierung beschränkt sich auf die haushaltsrechtliche Vertretbarkeit.</w:t>
      </w:r>
    </w:p>
    <w:p>
      <w:r>
        <w:t xml:space="preserve">(2) Neben Reisekostenvergütung dürfen Sitzungsgelder nicht gewährt werden.</w:t>
      </w:r>
    </w:p>
    <w:p>
      <w:r>
        <w:rPr>
          <w:color w:val="555555"/>
          <w:sz w:val="17"/>
        </w:rPr>
        <w:t xml:space="preserve">Zitiervorschlag: § 15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