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LPlG DVO (Nordrhein-Westfalen) — Fahrkostenerstattung</w:t>
      </w:r>
    </w:p>
    <w:p>
      <w:r>
        <w:rPr>
          <w:color w:val="555555"/>
          <w:sz w:val="18"/>
        </w:rPr>
        <w:t xml:space="preserve">LandesplanungsgesetzDVO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Mitgliedern der Regionalräte werden die Fahrkosten nach Maßgabe des Landesreisekostengesetzes vom 16. Dezember 1998 (GV. NRW. S. 738) in der jeweils geltenden Fassung erstattet, die ihnen durch Fahrten zum Sitzungsort und zurück entstehen, höchstens jedoch in Höhe der Kosten der Fahrten von der Wohnung zum Sitzungsort und zurück.</w:t>
      </w:r>
    </w:p>
    <w:p>
      <w:r>
        <w:t xml:space="preserve">(2) Für die Benutzung privater Kraftfahrzeuge im Sinne des § 6 Absatz 1 des Landesreisekostengesetzes darf höchstens eine Wegstreckenentschädigung in Höhe der Sätze nach § 6 Absatz 1 Satz 2 des Landesreisekostengesetzes gewährt werden.</w:t>
      </w:r>
    </w:p>
    <w:p>
      <w:r>
        <w:rPr>
          <w:color w:val="555555"/>
          <w:sz w:val="17"/>
        </w:rPr>
        <w:t xml:space="preserve">Zitiervorschlag: § 13 LPlG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https://recht.nulegal.eu/gesetze/LPlG%20DVO/13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