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LPflegeG (Brandenburg) — Ordnungswidrigkeiten</w:t>
      </w:r>
    </w:p>
    <w:p>
      <w:r>
        <w:rPr>
          <w:color w:val="555555"/>
          <w:sz w:val="18"/>
        </w:rPr>
        <w:t xml:space="preserve">Landespflegegesetz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fahrlässig oder vorsätzlich</w:t>
      </w:r>
    </w:p>
    <w:p>
      <w:r>
        <w:t xml:space="preserve">entgegen § 11 Nummer 1 nicht unverzüglich jeden freiwerdenden öffentlich geförderten Platz meldet,</w:t>
      </w:r>
    </w:p>
    <w:p>
      <w:r>
        <w:t xml:space="preserve">entgegen § 11 Nummer 2 trotz Vorliegen von Anträgen der Zielgruppe gemäß § 9 Absatz 2 die Pflegeplätze mit Personen belegt, die die gesetzlichen Voraussetzungen nicht erfüllen,</w:t>
      </w:r>
    </w:p>
    <w:p>
      <w:r>
        <w:t xml:space="preserve">entgegen § 11 Nummer 3 eine Auskunft nicht richtig, nicht vollständig oder nicht rechtzeitig erteilt.</w:t>
      </w:r>
    </w:p>
    <w:p>
      <w:r>
        <w:t xml:space="preserve">(2) Die Ordnungswidrigkeit kann in den Fällen des Absatzes 1 Nr. 1 und 3 mit einer Geldbuße bis zu 2 500 Euro und in dem Fall des Absatzes 1 Nr. 2 mit einer Geldbuße bis zu 10 000 Euro geahndet werden. Eine Ahndung des Verstoßes im Fall des Absatzes 1 Nr. 2 entfällt, wenn die Aufnahme des nicht vorrangig Berechtigten aus medizinischer oder pflegerischer Sicht erforderlich und nachgewiesen ist.</w:t>
      </w:r>
    </w:p>
    <w:p>
      <w:r>
        <w:t xml:space="preserve">(3) Verwaltungsbehörde im Sinne von § 36 Abs. 1 Nr. 1 des Gesetzes über Ordnungswidrigkeiten ist der jeweils zuständige Landkreis oder die jeweils zuständige kreisfreie Stadt.</w:t>
      </w:r>
    </w:p>
    <w:p>
      <w:r>
        <w:rPr>
          <w:color w:val="555555"/>
          <w:sz w:val="17"/>
        </w:rPr>
        <w:t xml:space="preserve">Zitiervorschlag: § 13 LPflegeG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