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LPflegeG (Brandenburg) — Belegungsrecht</w:t>
      </w:r>
    </w:p>
    <w:p>
      <w:r>
        <w:rPr>
          <w:color w:val="555555"/>
          <w:sz w:val="18"/>
        </w:rPr>
        <w:t xml:space="preserve">Landespflegegesetz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Durchsetzung des Zieles gemäß § 2 Abs. 2 sind die Landkreise und kreisfreien Städte berechtigt, für die öffentlich geförderten teilstationären und vollstationären Plätze in den Pflegeeinrichtungen Personen zu benennen, denen der Träger von Pflegeeinrichtungen nach Maßgabe von § 11 Nummer 1 öffentlich geförderte Pflegeplätze zu überlassen hat (Belegungsrecht).</w:t>
      </w:r>
    </w:p>
    <w:p>
      <w:r>
        <w:t xml:space="preserve">(2) Die Landkreise und kreisfreien Städte sind berechtigt, nach Maßgabe dieses Gesetzes im Benehmen mit den Trägern der öffentlich geförderten Pflegeeinrichtungen Näheres zum Verfahren der vorrangigen Belegung von öffentlich geförderten teilstationären und vollstationären Pflegeplätzen zu regeln.</w:t>
      </w:r>
    </w:p>
    <w:p>
      <w:r>
        <w:rPr>
          <w:color w:val="555555"/>
          <w:sz w:val="17"/>
        </w:rPr>
        <w:t xml:space="preserve">Zitiervorschlag: § 10 LPflegeG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