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LPflegeAV (Brandenburg) — Geschäftsordnung und Ausschüsse</w:t>
      </w:r>
    </w:p>
    <w:p>
      <w:r>
        <w:rPr>
          <w:color w:val="555555"/>
          <w:sz w:val="18"/>
        </w:rPr>
        <w:t xml:space="preserve">Landespflegeausschussverordnung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Landespflegeausschuß gibt sich mit Zweidrittelmehrheit der Mitglieder eine Geschäftsordnung.</w:t>
      </w:r>
    </w:p>
    <w:p>
      <w:r>
        <w:t xml:space="preserve">(2) Der Landespflegeausschuß kann aus seiner Mitte zur Vorbereitung seiner Beschlüsse und Empfehlungen Ausschüsse einsetzen.</w:t>
      </w:r>
    </w:p>
    <w:p>
      <w:r>
        <w:rPr>
          <w:color w:val="555555"/>
          <w:sz w:val="17"/>
        </w:rPr>
        <w:t xml:space="preserve">Zitiervorschlag: § 9 LPflegeAV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https://recht.nulegal.eu/gesetze/LPflegeAV/9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