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LPflegeAV (Brandenburg) — Kosten</w:t>
      </w:r>
    </w:p>
    <w:p>
      <w:r>
        <w:rPr>
          <w:color w:val="555555"/>
          <w:sz w:val="18"/>
        </w:rPr>
        <w:t xml:space="preserve">Landespflegeausschussverordnung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Kosten der Geschäftsstelle trägt das Land.</w:t>
      </w:r>
    </w:p>
    <w:p>
      <w:r>
        <w:t xml:space="preserve">(2) Entschädigungen nach § 13 Abs. 2 tragen die im § 2 Abs. 1 genannten Organisationen und Institutionen entsprechend ihrem Anteil an der Zahl der Mitglieder nach § 2 Abs. 1.</w:t>
      </w:r>
    </w:p>
    <w:p>
      <w:r>
        <w:rPr>
          <w:color w:val="555555"/>
          <w:sz w:val="17"/>
        </w:rPr>
        <w:t xml:space="preserve">Zitiervorschlag: § 14 LPflegeAV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https://recht.nulegal.eu/gesetze/LPflegeAV/14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