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87 LPersVG (Brandenburg) — Zahl der Mitglieder des Referendarrates</w:t>
      </w:r>
    </w:p>
    <w:p>
      <w:r>
        <w:rPr>
          <w:color w:val="555555"/>
          <w:sz w:val="18"/>
        </w:rPr>
        <w:t xml:space="preserve">Landespersonalvertretungsgesetz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30.07.2026 (konsolidierte Textfassung, kein amtliches Inkrafttretensdatum)</w:t>
      </w:r>
    </w:p>
    <w:p>
      <w:r>
        <w:t xml:space="preserve">Der Referendarrat besteht aus sieben Mitgliedern. Er soll sich aus Angehörigen aller Landgerichtsbezirke zusammensetzen. § 12 Absatz 2 gilt entsprechend.</w:t>
      </w:r>
    </w:p>
    <w:p>
      <w:r>
        <w:rPr>
          <w:color w:val="555555"/>
          <w:sz w:val="17"/>
        </w:rPr>
        <w:t xml:space="preserve">Zitiervorschlag: § 87 LPersVG (Brandenburg)</w:t>
      </w:r>
    </w:p>
    <w:p>
      <w:r>
        <w:rPr>
          <w:color w:val="555555"/>
          <w:sz w:val="17"/>
        </w:rPr>
        <w:t xml:space="preserve">Quelle: bravors, abgerufen 29.07.2026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https://recht.nulegal.eu/gesetze/LPersVG/87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