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70 LPersVG (Brandenburg) — Initiativrecht</w:t>
      </w:r>
    </w:p>
    <w:p>
      <w:r>
        <w:rPr>
          <w:color w:val="555555"/>
          <w:sz w:val="18"/>
        </w:rPr>
        <w:t xml:space="preserve">Landespersonalvertretungsgesetz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Wahrnehmung der kollektiven Interessen der Beschäftigten seiner Dienststelle kann der Personalrat in den Fällen, die nach den §§ 63, 64, 65 Nummer 4, § 66 Absatz 1 und § 67 Nummer 1 und 2 seiner Mitbestimmung unterliegen, Maßnahmen beantragen, die die Beschäftigten insgesamt, Gruppen von ihnen oder einzelne Beschäftigte betreffen oder sich auf sie auswirken.</w:t>
      </w:r>
    </w:p>
    <w:p>
      <w:r>
        <w:t xml:space="preserve">(2) In personellen Angelegenheiten der Beschäftigten nach § 62 Absatz 5 kann ein Antrag nach Absatz 1 nicht gestellt werden.</w:t>
      </w:r>
    </w:p>
    <w:p>
      <w:r>
        <w:t xml:space="preserve">(3) In personellen Angelegenheiten der Beschäftigten nach § 62 Absatz 4 kann ein Antrag nach Absatz 1 nur mit Zustimmung der Betroffenen gestellt werden.</w:t>
      </w:r>
    </w:p>
    <w:p>
      <w:r>
        <w:t xml:space="preserve">(4) Der Antrag des Personalrates ist der Dienststellenleitung schriftlich oder elektronisch zuzuleiten. Die Dienststellenleitung hat innerhalb von vier Wochen über den Antrag zu entscheiden.</w:t>
      </w:r>
    </w:p>
    <w:p>
      <w:r>
        <w:t xml:space="preserve">(5) Stimmt die nach Absatz 4 für die Entscheidung zuständige Dienststellenleitung dem Antrag des Personalrates nicht zu, so hat sie die Ablehnung zu begründen und den Personalrat schriftlich oder elektronisch unter Beifügung der Begründung zu unterrichten.</w:t>
      </w:r>
    </w:p>
    <w:p>
      <w:r>
        <w:t xml:space="preserve">(6) Lehnt die Dienststelle einen Vorschlag des Personalrates ab oder trifft sie innerhalb der Frist nach Absatz 4 keine Entscheidung, so finden für das weitere Verfahren die §§ 61 Absatz 5 bis 8 sowie §§ 73 und 74 entsprechend Anwendung mit der Maßgabe, dass die Einleitung des Stufenverfahrens und die Anrufung der Einigungsstelle durch die zuständige Personalvertretung erfolgen kann.</w:t>
      </w:r>
    </w:p>
    <w:p>
      <w:r>
        <w:rPr>
          <w:color w:val="555555"/>
          <w:sz w:val="17"/>
        </w:rPr>
        <w:t xml:space="preserve">Zitiervorschlag: § 70 LPersVG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https://recht.nulegal.eu/gesetze/LPersVG/70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