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LPersVG (Brandenburg) — Mitbestimmung in Angelegenheiten des Arbeits- und Gesundheitsschutzes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Personalrat hat in folgenden Angelegenheiten des Arbeits- und Gesundheitsschutzes mitzubestimmen:</w:t>
      </w:r>
    </w:p>
    <w:p>
      <w:r>
        <w:t xml:space="preserve">Bestellung und Abberufung von Vertrauens- und Betriebsärzten sowie Sicherheitsfachkräften,</w:t>
      </w:r>
    </w:p>
    <w:p>
      <w:r>
        <w:t xml:space="preserve">Maßnahmen zur Verhütung von Dienst- und Arbeitsunfällen, Berufskrankheiten und sonstigen Gesundheitsschädigungen,</w:t>
      </w:r>
    </w:p>
    <w:p>
      <w:r>
        <w:t xml:space="preserve">Grundsätze des behördlichen oder betrieblichen Gesunderhaltungs- sowie Gesundheits- und Eingliederungsmanagements.</w:t>
      </w:r>
    </w:p>
    <w:p>
      <w:r>
        <w:rPr>
          <w:color w:val="555555"/>
          <w:sz w:val="17"/>
        </w:rPr>
        <w:t xml:space="preserve">Zitiervorschlag: § 67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