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LPersVG (Brandenburg) — Mitbestimmung in sonstigen innerdienstlichen Angelegenheiten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Personalrat hat in folgenden sonstigen innerdienstlichen Angelegenheiten mitzubestimmen:</w:t>
      </w:r>
    </w:p>
    <w:p>
      <w:r>
        <w:t xml:space="preserve">Regelungen über Beginn und Ende der täglichen Arbeitszeit und der Pausen sowie die Verteilung der Arbeitszeit auf die einzelnen Wochentage und Erstellung entsprechender Pläne,</w:t>
      </w:r>
    </w:p>
    <w:p>
      <w:r>
        <w:t xml:space="preserve">Anordnung von Bereitschaftsdienst, Rufbereitschaft, Mehrarbeit oder Überstunden sowie allgemeine Regelungen zum Ausgleich von Bereitschaftsdienst, Rufbereitschaft, Mehrarbeit oder Überstunden und Erstellung entsprechender Pläne; Festsetzung von Kurzarbeit,</w:t>
      </w:r>
    </w:p>
    <w:p>
      <w:r>
        <w:t xml:space="preserve">Einführung, Änderung und Aufhebung der gleitenden Arbeitszeit und anderer Arbeitszeitmodelle,</w:t>
      </w:r>
    </w:p>
    <w:p>
      <w:r>
        <w:t xml:space="preserve">Einführung, Änderung und Aufhebung von Arbeitsformen außerhalb der Dienststelle,</w:t>
      </w:r>
    </w:p>
    <w:p>
      <w:r>
        <w:t xml:space="preserve">Regelungen über Zeit, Ort und Art der Auszahlung der Dienstbezüge und Arbeitsentgelte,</w:t>
      </w:r>
    </w:p>
    <w:p>
      <w:r>
        <w:t xml:space="preserve">Aufstellung des Urlaubsplans, Festsetzung der zeitlichen Lage des Erholungsurlaubs für einzelne Beschäftigte ohne deren Zustimmung,</w:t>
      </w:r>
    </w:p>
    <w:p>
      <w:r>
        <w:t xml:space="preserve">Fragen der Lohngestaltung innerhalb der Dienststelle, insbesondere die Aufstellung von Entlohnungsgrundsätzen, die Einführung und Anwendung von neuen Entlohnungsmethoden und deren Änderung sowie die Festsetzung der Akkord- und Prämiensätze und vergleichbarer leistungsbezogener Entgelte einschließlich der Geldfaktoren,</w:t>
      </w:r>
    </w:p>
    <w:p>
      <w:r>
        <w:t xml:space="preserve">Grundsätze über die Prämierung von anerkannten Vorschlägen im Rahmen des behördlichen und betrieblichen Vorschlagswesens,</w:t>
      </w:r>
    </w:p>
    <w:p>
      <w:r>
        <w:t xml:space="preserve">Regelung der Ordnung in der Dienststelle und des Verhaltens der Beschäftigten,</w:t>
      </w:r>
    </w:p>
    <w:p>
      <w:r>
        <w:t xml:space="preserve">Bestellung und Abberufung der oder des Datenschutzbeauftragten der Dienststelle,</w:t>
      </w:r>
    </w:p>
    <w:p>
      <w:r>
        <w:t xml:space="preserve">Aufstellung oder wesentliche Änderung von Plänen zur Herstellung der Gleichstellung von Frauen und Männern,</w:t>
      </w:r>
    </w:p>
    <w:p>
      <w:r>
        <w:t xml:space="preserve">Aufstellung von Grundsätzen für die Personalplanung,</w:t>
      </w:r>
    </w:p>
    <w:p>
      <w:r>
        <w:t xml:space="preserve">Grundsätze über die Durchführung der Berufsausbildung,</w:t>
      </w:r>
    </w:p>
    <w:p>
      <w:r>
        <w:t xml:space="preserve">Beurteilungsrichtlinien,</w:t>
      </w:r>
    </w:p>
    <w:p>
      <w:r>
        <w:t xml:space="preserve">allgemeine Fragen der Fortbildung der Beschäftigten,</w:t>
      </w:r>
    </w:p>
    <w:p>
      <w:r>
        <w:t xml:space="preserve">Inhalt von Personalfragebogen, mit Ausnahme von Fragebogen im Rahmen der Rechnungsprüfung und von Organisationsuntersuchungen,</w:t>
      </w:r>
    </w:p>
    <w:p>
      <w:r>
        <w:t xml:space="preserve">Abschluss von Arbeitnehmerüberlassungsverträgen oder Gestellungsverträgen,</w:t>
      </w:r>
    </w:p>
    <w:p>
      <w:r>
        <w:t xml:space="preserve">allgemeine Regelungen über die Ausschreibung von Stellen,</w:t>
      </w:r>
    </w:p>
    <w:p>
      <w:r>
        <w:t xml:space="preserve">allgemeine Regelungen über die Gestaltung von Arbeitsplätzen.</w:t>
      </w:r>
    </w:p>
    <w:p>
      <w:r>
        <w:t xml:space="preserve">(2) Muss für Gruppen von Beschäftigten die tägliche Arbeitszeit nach Erfordernissen, die die Dienststelle nicht voraussehen kann, unregelmäßig und kurzfristig festgesetzt werden, so beschränkt sich die Mitbestimmung nach Absatz 1 Nummer 2 auf die Grundsätze für die Aufstellung der Dienstpläne, insbesondere für die Anordnung von Bereitschaftsdienst, Rufbereitschaft, Mehrarbeit und Überstunden.</w:t>
      </w:r>
    </w:p>
    <w:p>
      <w:r>
        <w:rPr>
          <w:color w:val="555555"/>
          <w:sz w:val="17"/>
        </w:rPr>
        <w:t xml:space="preserve">Zitiervorschlag: § 66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https://recht.nulegal.eu/gesetze/LPersVG/66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