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LPersVG (Brandenburg) — Mitbestimmung in organisatorischen Angelegenheiten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Personalrat hat in folgenden organisatorischen Angelegenheiten mitzubestimmen:</w:t>
      </w:r>
    </w:p>
    <w:p>
      <w:r>
        <w:t xml:space="preserve">Einführung, Anwendung, wesentliche Änderung oder wesentliche Erweiterung von automatisierter Verarbeitung personenbezogener Daten der Beschäftigten, außerhalb von Besoldungs-, Vergütungs-, Lohn- und Versorgungsleistungen sowie von Beihilfen,</w:t>
      </w:r>
    </w:p>
    <w:p>
      <w:r>
        <w:t xml:space="preserve">Einführung, Anwendung, wesentliche Änderung oder wesentliche Erweiterung von technischen Einrichtungen, die geeignet sind, das Verhalten oder die Leistung der Beschäftigten zu überwachen,</w:t>
      </w:r>
    </w:p>
    <w:p>
      <w:r>
        <w:t xml:space="preserve">Einführung, wesentliche Änderung oder wesentliche Ausweitung neuer Arbeitsmethoden, insbesondere Maßnahmen der technischen Rationalisierung,</w:t>
      </w:r>
    </w:p>
    <w:p>
      <w:r>
        <w:t xml:space="preserve">allgemeine Maßnahmen zur Hebung der Arbeitsleistung oder zur Erleichterung des Arbeitsablaufs sowie Maßnahmen zur Änderung der Arbeitsorganisation, soweit sie nicht von Nummer 3 erfasst sind.</w:t>
      </w:r>
    </w:p>
    <w:p>
      <w:r>
        <w:rPr>
          <w:color w:val="555555"/>
          <w:sz w:val="17"/>
        </w:rPr>
        <w:t xml:space="preserve">Zitiervorschlag: § 65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https://recht.nulegal.eu/gesetze/LPersVG/65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