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LPersVG (Brandenburg) — Amtszeit, Geschäftsführung und Rechtsstellung der Stufenvertretungen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Amtszeit, die Geschäftsführung und die Rechtsstellung der Stufenvertretungen und ihrer Mitglieder gelten die §§ 26 bis 44 sowie die §§ 46 und 47 entsprechend.</w:t>
      </w:r>
    </w:p>
    <w:p>
      <w:r>
        <w:t xml:space="preserve">(2) Auf Beschluss der jeweiligen Stufenvertretung werden in einem Geschäftsbereich mit 1 001 bis 2 000 Wahlberechtigten ein Mitglied und bei je weiteren angefangenen 2 000 Wahlberechtigten je ein weiteres Mitglied, höchstens jedoch fünf Mitglieder, von ihrer dienstlichen Tätigkeit freigestellt. In Geschäftsbereichen mit bis zu 1 000 Wahlberechtigten können Teilfreistellungen erfolgen. Von Satz 1 kann im Einvernehmen zwischen der Dienststellenleitung und der jeweiligen Stufenvertretung abgewichen werden. Im Übrigen findet § 45 entsprechend Anwendung mit der Maßgabe, dass im Falle von Teilfreistellungen der zeitliche Umfang der nach den Sätzen 1 bis 3 vorgesehenen Freistellungen insgesamt nicht überschritten werden darf.</w:t>
      </w:r>
    </w:p>
    <w:p>
      <w:r>
        <w:rPr>
          <w:color w:val="555555"/>
          <w:sz w:val="17"/>
        </w:rPr>
        <w:t xml:space="preserve">Zitiervorschlag: § 54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https://recht.nulegal.eu/gesetze/LPersVG/54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